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C0A0A9F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400" w:lineRule="exact"/>
        <w:jc w:val="center"/>
        <w:rPr>
          <w:rFonts w:hint="eastAsia" w:ascii="宋体" w:hAnsi="宋体" w:cs="宋体"/>
          <w:b/>
          <w:kern w:val="0"/>
          <w:sz w:val="32"/>
          <w:szCs w:val="32"/>
        </w:rPr>
      </w:pPr>
      <w:bookmarkStart w:id="0" w:name="_GoBack"/>
      <w:bookmarkEnd w:id="0"/>
      <w:r>
        <w:rPr>
          <w:rFonts w:hint="eastAsia" w:ascii="宋体" w:hAnsi="宋体" w:cs="宋体"/>
          <w:b/>
          <w:kern w:val="0"/>
          <w:sz w:val="32"/>
          <w:szCs w:val="32"/>
        </w:rPr>
        <w:t>评分体系</w:t>
      </w:r>
    </w:p>
    <w:p w14:paraId="6CDDDCE4"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line="400" w:lineRule="exact"/>
        <w:jc w:val="left"/>
        <w:rPr>
          <w:rFonts w:hint="eastAsia" w:ascii="宋体" w:hAnsi="宋体" w:cs="宋体"/>
          <w:bCs/>
          <w:kern w:val="0"/>
          <w:sz w:val="24"/>
          <w:lang w:val="en-US" w:eastAsia="zh-CN"/>
        </w:rPr>
      </w:pPr>
    </w:p>
    <w:p w14:paraId="3C04EA58"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line="400" w:lineRule="exact"/>
        <w:jc w:val="left"/>
        <w:rPr>
          <w:rFonts w:hint="eastAsia" w:ascii="宋体" w:hAnsi="宋体" w:cs="宋体"/>
          <w:b/>
          <w:bCs w:val="0"/>
          <w:kern w:val="0"/>
          <w:sz w:val="24"/>
          <w:lang w:val="en-US" w:eastAsia="zh-CN"/>
        </w:rPr>
      </w:pPr>
      <w:r>
        <w:rPr>
          <w:rFonts w:hint="eastAsia" w:ascii="宋体" w:hAnsi="宋体" w:cs="宋体"/>
          <w:b/>
          <w:bCs w:val="0"/>
          <w:kern w:val="0"/>
          <w:sz w:val="24"/>
          <w:lang w:val="en-US" w:eastAsia="zh-CN"/>
        </w:rPr>
        <w:t>一、总则</w:t>
      </w:r>
    </w:p>
    <w:p w14:paraId="3322F343"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line="400" w:lineRule="exact"/>
        <w:ind w:firstLine="482" w:firstLineChars="200"/>
        <w:jc w:val="left"/>
        <w:rPr>
          <w:rFonts w:hint="eastAsia" w:ascii="宋体" w:hAnsi="宋体" w:cs="宋体"/>
          <w:b/>
          <w:bCs w:val="0"/>
          <w:kern w:val="0"/>
          <w:sz w:val="24"/>
          <w:lang w:val="en-US" w:eastAsia="zh-CN"/>
        </w:rPr>
      </w:pPr>
      <w:r>
        <w:rPr>
          <w:rFonts w:hint="eastAsia" w:ascii="宋体" w:hAnsi="宋体" w:cs="宋体"/>
          <w:b/>
          <w:bCs w:val="0"/>
          <w:kern w:val="0"/>
          <w:sz w:val="24"/>
          <w:lang w:val="en-US" w:eastAsia="zh-CN"/>
        </w:rPr>
        <w:t>1.评标小组</w:t>
      </w:r>
    </w:p>
    <w:p w14:paraId="411866E0"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line="400" w:lineRule="exact"/>
        <w:ind w:firstLine="480" w:firstLineChars="200"/>
        <w:jc w:val="left"/>
        <w:rPr>
          <w:rFonts w:hint="eastAsia" w:ascii="宋体" w:hAnsi="宋体" w:cs="宋体"/>
          <w:bCs/>
          <w:kern w:val="0"/>
          <w:sz w:val="24"/>
          <w:lang w:val="en-US" w:eastAsia="zh-CN"/>
        </w:rPr>
      </w:pPr>
      <w:r>
        <w:rPr>
          <w:rFonts w:hint="eastAsia" w:ascii="宋体" w:hAnsi="宋体" w:cs="宋体"/>
          <w:bCs/>
          <w:kern w:val="0"/>
          <w:sz w:val="24"/>
          <w:lang w:val="en-US" w:eastAsia="zh-CN"/>
        </w:rPr>
        <w:t>1.1评标小组由学校人员</w:t>
      </w:r>
      <w:r>
        <w:rPr>
          <w:rFonts w:hint="eastAsia" w:ascii="宋体" w:hAnsi="宋体" w:cs="宋体"/>
          <w:bCs/>
          <w:kern w:val="0"/>
          <w:sz w:val="24"/>
          <w:lang w:val="en-US" w:eastAsia="zh-TW"/>
        </w:rPr>
        <w:t>组成</w:t>
      </w:r>
      <w:r>
        <w:rPr>
          <w:rFonts w:hint="eastAsia" w:ascii="宋体" w:hAnsi="宋体" w:cs="宋体"/>
          <w:bCs/>
          <w:kern w:val="0"/>
          <w:sz w:val="24"/>
          <w:lang w:val="en-US" w:eastAsia="zh-CN"/>
        </w:rPr>
        <w:t>，不少于3人</w:t>
      </w:r>
      <w:r>
        <w:rPr>
          <w:rFonts w:hint="eastAsia" w:ascii="宋体" w:hAnsi="宋体" w:cs="宋体"/>
          <w:bCs/>
          <w:kern w:val="0"/>
          <w:sz w:val="24"/>
          <w:lang w:val="en-US" w:eastAsia="zh-TW"/>
        </w:rPr>
        <w:t>。</w:t>
      </w:r>
    </w:p>
    <w:p w14:paraId="684B6DB7"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line="400" w:lineRule="exact"/>
        <w:ind w:firstLine="480" w:firstLineChars="200"/>
        <w:jc w:val="left"/>
        <w:rPr>
          <w:rFonts w:hint="eastAsia" w:ascii="宋体" w:hAnsi="宋体" w:cs="宋体"/>
          <w:bCs/>
          <w:kern w:val="0"/>
          <w:sz w:val="24"/>
          <w:lang w:val="en-US" w:eastAsia="zh-TW"/>
        </w:rPr>
      </w:pPr>
      <w:r>
        <w:rPr>
          <w:rFonts w:hint="eastAsia" w:ascii="宋体" w:hAnsi="宋体" w:cs="宋体"/>
          <w:bCs/>
          <w:kern w:val="0"/>
          <w:sz w:val="24"/>
          <w:lang w:val="en-US" w:eastAsia="zh-CN"/>
        </w:rPr>
        <w:t>1.2</w:t>
      </w:r>
      <w:r>
        <w:rPr>
          <w:rFonts w:hint="eastAsia" w:ascii="宋体" w:hAnsi="宋体" w:cs="宋体"/>
          <w:bCs/>
          <w:kern w:val="0"/>
          <w:sz w:val="24"/>
          <w:lang w:val="en-US" w:eastAsia="zh-TW"/>
        </w:rPr>
        <w:t>有下列情形之一的，</w:t>
      </w:r>
      <w:r>
        <w:rPr>
          <w:rFonts w:hint="eastAsia" w:ascii="宋体" w:hAnsi="宋体" w:cs="宋体"/>
          <w:bCs/>
          <w:kern w:val="0"/>
          <w:sz w:val="24"/>
          <w:lang w:val="en-US" w:eastAsia="zh-CN"/>
        </w:rPr>
        <w:t>不得作为评标人员</w:t>
      </w:r>
      <w:r>
        <w:rPr>
          <w:rFonts w:hint="eastAsia" w:ascii="宋体" w:hAnsi="宋体" w:cs="宋体"/>
          <w:bCs/>
          <w:kern w:val="0"/>
          <w:sz w:val="24"/>
          <w:lang w:val="en-US" w:eastAsia="zh-TW"/>
        </w:rPr>
        <w:t>：</w:t>
      </w:r>
    </w:p>
    <w:p w14:paraId="5D7364D0"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line="400" w:lineRule="exact"/>
        <w:ind w:firstLine="480" w:firstLineChars="200"/>
        <w:jc w:val="left"/>
        <w:rPr>
          <w:rFonts w:hint="eastAsia" w:ascii="宋体" w:hAnsi="宋体" w:cs="宋体"/>
          <w:bCs/>
          <w:kern w:val="0"/>
          <w:sz w:val="24"/>
          <w:lang w:val="en-US" w:eastAsia="zh-TW"/>
        </w:rPr>
      </w:pPr>
      <w:r>
        <w:rPr>
          <w:rFonts w:hint="eastAsia" w:ascii="宋体" w:hAnsi="宋体" w:cs="宋体"/>
          <w:bCs/>
          <w:kern w:val="0"/>
          <w:sz w:val="24"/>
          <w:lang w:val="en-US" w:eastAsia="zh-CN"/>
        </w:rPr>
        <w:t>1.2.1</w:t>
      </w:r>
      <w:r>
        <w:rPr>
          <w:rFonts w:hint="eastAsia" w:ascii="宋体" w:hAnsi="宋体" w:cs="宋体"/>
          <w:bCs/>
          <w:kern w:val="0"/>
          <w:sz w:val="24"/>
          <w:lang w:val="en-US" w:eastAsia="zh-TW"/>
        </w:rPr>
        <w:t>参加采购活动前3年内与供应商存在劳动关系；</w:t>
      </w:r>
    </w:p>
    <w:p w14:paraId="39A75AC8"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line="400" w:lineRule="exact"/>
        <w:ind w:firstLine="480" w:firstLineChars="200"/>
        <w:jc w:val="left"/>
        <w:rPr>
          <w:rFonts w:hint="eastAsia" w:ascii="宋体" w:hAnsi="宋体" w:cs="宋体"/>
          <w:bCs/>
          <w:kern w:val="0"/>
          <w:sz w:val="24"/>
          <w:lang w:val="en-US" w:eastAsia="zh-TW"/>
        </w:rPr>
      </w:pPr>
      <w:r>
        <w:rPr>
          <w:rFonts w:hint="eastAsia" w:ascii="宋体" w:hAnsi="宋体" w:cs="宋体"/>
          <w:bCs/>
          <w:kern w:val="0"/>
          <w:sz w:val="24"/>
          <w:lang w:val="en-US" w:eastAsia="zh-CN"/>
        </w:rPr>
        <w:t>1.2.2</w:t>
      </w:r>
      <w:r>
        <w:rPr>
          <w:rFonts w:hint="eastAsia" w:ascii="宋体" w:hAnsi="宋体" w:cs="宋体"/>
          <w:bCs/>
          <w:kern w:val="0"/>
          <w:sz w:val="24"/>
          <w:lang w:val="en-US" w:eastAsia="zh-TW"/>
        </w:rPr>
        <w:t>参加采购活动前3年内担任供应商的董事、监事；</w:t>
      </w:r>
    </w:p>
    <w:p w14:paraId="27F0D0DD"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line="400" w:lineRule="exact"/>
        <w:ind w:firstLine="480" w:firstLineChars="200"/>
        <w:jc w:val="left"/>
        <w:rPr>
          <w:rFonts w:hint="eastAsia" w:ascii="宋体" w:hAnsi="宋体" w:cs="宋体"/>
          <w:bCs/>
          <w:kern w:val="0"/>
          <w:sz w:val="24"/>
          <w:lang w:val="en-US" w:eastAsia="zh-TW"/>
        </w:rPr>
      </w:pPr>
      <w:r>
        <w:rPr>
          <w:rFonts w:hint="eastAsia" w:ascii="宋体" w:hAnsi="宋体" w:cs="宋体"/>
          <w:bCs/>
          <w:kern w:val="0"/>
          <w:sz w:val="24"/>
          <w:lang w:val="en-US" w:eastAsia="zh-CN"/>
        </w:rPr>
        <w:t>1.2.3</w:t>
      </w:r>
      <w:r>
        <w:rPr>
          <w:rFonts w:hint="eastAsia" w:ascii="宋体" w:hAnsi="宋体" w:cs="宋体"/>
          <w:bCs/>
          <w:kern w:val="0"/>
          <w:sz w:val="24"/>
          <w:lang w:val="en-US" w:eastAsia="zh-TW"/>
        </w:rPr>
        <w:t>参加采购活动前3年内是供应商的控股股东或者实际控制人；</w:t>
      </w:r>
    </w:p>
    <w:p w14:paraId="3041B638"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line="400" w:lineRule="exact"/>
        <w:ind w:firstLine="480" w:firstLineChars="200"/>
        <w:jc w:val="left"/>
        <w:rPr>
          <w:rFonts w:hint="eastAsia" w:ascii="宋体" w:hAnsi="宋体" w:cs="宋体"/>
          <w:bCs/>
          <w:kern w:val="0"/>
          <w:sz w:val="24"/>
          <w:lang w:val="en-US" w:eastAsia="zh-TW"/>
        </w:rPr>
      </w:pPr>
      <w:r>
        <w:rPr>
          <w:rFonts w:hint="eastAsia" w:ascii="宋体" w:hAnsi="宋体" w:cs="宋体"/>
          <w:bCs/>
          <w:kern w:val="0"/>
          <w:sz w:val="24"/>
          <w:lang w:val="en-US" w:eastAsia="zh-CN"/>
        </w:rPr>
        <w:t>1.2.4</w:t>
      </w:r>
      <w:r>
        <w:rPr>
          <w:rFonts w:hint="eastAsia" w:ascii="宋体" w:hAnsi="宋体" w:cs="宋体"/>
          <w:bCs/>
          <w:kern w:val="0"/>
          <w:sz w:val="24"/>
          <w:lang w:val="en-US" w:eastAsia="zh-TW"/>
        </w:rPr>
        <w:t>与供应商的法定代表人或者负责人有夫妻、直系血亲、三代以内旁系血亲或者近姻亲关系；</w:t>
      </w:r>
    </w:p>
    <w:p w14:paraId="7CC466C9"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line="400" w:lineRule="exact"/>
        <w:ind w:firstLine="480" w:firstLineChars="200"/>
        <w:jc w:val="left"/>
        <w:rPr>
          <w:rFonts w:hint="eastAsia" w:ascii="宋体" w:hAnsi="宋体" w:cs="宋体"/>
          <w:bCs/>
          <w:kern w:val="0"/>
          <w:sz w:val="24"/>
          <w:lang w:val="en-US" w:eastAsia="zh-TW"/>
        </w:rPr>
      </w:pPr>
      <w:r>
        <w:rPr>
          <w:rFonts w:hint="eastAsia" w:ascii="宋体" w:hAnsi="宋体" w:cs="宋体"/>
          <w:bCs/>
          <w:kern w:val="0"/>
          <w:sz w:val="24"/>
          <w:lang w:val="en-US" w:eastAsia="zh-CN"/>
        </w:rPr>
        <w:t>1.2.5</w:t>
      </w:r>
      <w:r>
        <w:rPr>
          <w:rFonts w:hint="eastAsia" w:ascii="宋体" w:hAnsi="宋体" w:cs="宋体"/>
          <w:bCs/>
          <w:kern w:val="0"/>
          <w:sz w:val="24"/>
          <w:lang w:val="en-US" w:eastAsia="zh-TW"/>
        </w:rPr>
        <w:t>与供应商有其他可能影响政府采购活动公平、公正进行的关系。</w:t>
      </w:r>
    </w:p>
    <w:p w14:paraId="2B1ACF93"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line="400" w:lineRule="exact"/>
        <w:ind w:firstLine="480" w:firstLineChars="200"/>
        <w:jc w:val="left"/>
        <w:rPr>
          <w:rFonts w:hint="eastAsia" w:ascii="宋体" w:hAnsi="宋体" w:cs="宋体"/>
          <w:bCs/>
          <w:kern w:val="0"/>
          <w:sz w:val="24"/>
          <w:lang w:val="en-US" w:eastAsia="zh-CN"/>
        </w:rPr>
      </w:pPr>
      <w:r>
        <w:rPr>
          <w:rFonts w:hint="eastAsia" w:ascii="宋体" w:hAnsi="宋体" w:cs="宋体"/>
          <w:bCs/>
          <w:kern w:val="0"/>
          <w:sz w:val="24"/>
          <w:lang w:val="en-US" w:eastAsia="zh-CN"/>
        </w:rPr>
        <w:t>1.3本次招标组建评标小组。评标小组负责评审工作，任何人不得干预评标小组的工作。</w:t>
      </w:r>
    </w:p>
    <w:p w14:paraId="01F26A5C"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line="400" w:lineRule="exact"/>
        <w:ind w:firstLine="480" w:firstLineChars="200"/>
        <w:jc w:val="left"/>
        <w:rPr>
          <w:rFonts w:hint="eastAsia" w:ascii="宋体" w:hAnsi="宋体" w:cs="宋体"/>
          <w:bCs/>
          <w:kern w:val="0"/>
          <w:sz w:val="24"/>
          <w:lang w:val="en-US" w:eastAsia="zh-CN"/>
        </w:rPr>
      </w:pPr>
      <w:r>
        <w:rPr>
          <w:rFonts w:hint="eastAsia" w:ascii="宋体" w:hAnsi="宋体" w:cs="宋体"/>
          <w:bCs/>
          <w:kern w:val="0"/>
          <w:sz w:val="24"/>
          <w:lang w:val="en-US" w:eastAsia="zh-CN"/>
        </w:rPr>
        <w:t>1.4评标小组将按照评标方法和标准进行评标。</w:t>
      </w:r>
    </w:p>
    <w:p w14:paraId="066DB24D"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line="400" w:lineRule="exact"/>
        <w:ind w:firstLine="480" w:firstLineChars="200"/>
        <w:jc w:val="left"/>
        <w:rPr>
          <w:rFonts w:hint="eastAsia" w:ascii="宋体" w:hAnsi="宋体" w:cs="宋体"/>
          <w:bCs/>
          <w:kern w:val="0"/>
          <w:sz w:val="24"/>
          <w:lang w:val="en-US" w:eastAsia="zh-CN"/>
        </w:rPr>
      </w:pPr>
      <w:r>
        <w:rPr>
          <w:rFonts w:hint="eastAsia" w:ascii="宋体" w:hAnsi="宋体" w:cs="宋体"/>
          <w:bCs/>
          <w:kern w:val="0"/>
          <w:sz w:val="24"/>
          <w:lang w:val="en-US" w:eastAsia="zh-CN"/>
        </w:rPr>
        <w:t>1.5参与评标工作的所有人员必须遵守《中华人民共和国政府采购法》及其实施条例、《政府采购货物和服务招标投标管理办法》（中华人民共和国财政部令第87号）及其配套的法规、规章、政策的规定，以确保评标的公平、公正。</w:t>
      </w:r>
    </w:p>
    <w:p w14:paraId="68B6D85F"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line="400" w:lineRule="exact"/>
        <w:ind w:firstLine="482" w:firstLineChars="200"/>
        <w:jc w:val="left"/>
        <w:rPr>
          <w:rFonts w:hint="eastAsia" w:ascii="宋体" w:hAnsi="宋体" w:cs="宋体"/>
          <w:b/>
          <w:bCs w:val="0"/>
          <w:kern w:val="0"/>
          <w:sz w:val="24"/>
          <w:lang w:val="en-US" w:eastAsia="zh-CN"/>
        </w:rPr>
      </w:pPr>
      <w:r>
        <w:rPr>
          <w:rFonts w:hint="eastAsia" w:ascii="宋体" w:hAnsi="宋体" w:cs="宋体"/>
          <w:b/>
          <w:bCs w:val="0"/>
          <w:kern w:val="0"/>
          <w:sz w:val="24"/>
          <w:lang w:val="en-US" w:eastAsia="zh-CN"/>
        </w:rPr>
        <w:t>2.评标方法</w:t>
      </w:r>
    </w:p>
    <w:p w14:paraId="6DE54315"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line="400" w:lineRule="exact"/>
        <w:ind w:firstLine="480" w:firstLineChars="200"/>
        <w:jc w:val="left"/>
        <w:rPr>
          <w:rFonts w:hint="eastAsia" w:ascii="宋体" w:hAnsi="宋体" w:cs="宋体"/>
          <w:bCs/>
          <w:kern w:val="0"/>
          <w:sz w:val="24"/>
          <w:lang w:val="en-US" w:eastAsia="zh-CN"/>
        </w:rPr>
      </w:pPr>
      <w:r>
        <w:rPr>
          <w:rFonts w:hint="eastAsia" w:ascii="宋体" w:hAnsi="宋体" w:cs="宋体"/>
          <w:bCs/>
          <w:kern w:val="0"/>
          <w:sz w:val="24"/>
          <w:lang w:val="en-US" w:eastAsia="zh-CN"/>
        </w:rPr>
        <w:t>2.1本次评标采用综合评分法。</w:t>
      </w:r>
    </w:p>
    <w:p w14:paraId="612AF6BB"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line="400" w:lineRule="exact"/>
        <w:ind w:firstLine="482" w:firstLineChars="200"/>
        <w:jc w:val="left"/>
        <w:rPr>
          <w:rFonts w:hint="eastAsia" w:ascii="宋体" w:hAnsi="宋体" w:cs="宋体"/>
          <w:b/>
          <w:bCs w:val="0"/>
          <w:kern w:val="0"/>
          <w:sz w:val="24"/>
          <w:lang w:val="en-US" w:eastAsia="zh-CN"/>
        </w:rPr>
      </w:pPr>
      <w:r>
        <w:rPr>
          <w:rFonts w:hint="eastAsia" w:ascii="宋体" w:hAnsi="宋体" w:cs="宋体"/>
          <w:b/>
          <w:bCs w:val="0"/>
          <w:kern w:val="0"/>
          <w:sz w:val="24"/>
          <w:lang w:val="en-US" w:eastAsia="zh-CN"/>
        </w:rPr>
        <w:t>3.评标步骤</w:t>
      </w:r>
    </w:p>
    <w:p w14:paraId="06D94E82"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line="400" w:lineRule="exact"/>
        <w:ind w:firstLine="480" w:firstLineChars="200"/>
        <w:jc w:val="left"/>
        <w:rPr>
          <w:rFonts w:hint="eastAsia" w:ascii="宋体" w:hAnsi="宋体" w:cs="宋体"/>
          <w:bCs/>
          <w:kern w:val="0"/>
          <w:sz w:val="24"/>
          <w:lang w:val="en-US" w:eastAsia="zh-CN"/>
        </w:rPr>
      </w:pPr>
      <w:r>
        <w:rPr>
          <w:rFonts w:hint="eastAsia" w:ascii="宋体" w:hAnsi="宋体" w:cs="宋体"/>
          <w:bCs/>
          <w:kern w:val="0"/>
          <w:sz w:val="24"/>
          <w:lang w:val="en-US" w:eastAsia="zh-CN"/>
        </w:rPr>
        <w:t>3.1评标小组对投标人进行资格审查；合格投标人不足3家的，不得评标；供应商之间不得有相同主要人员；</w:t>
      </w:r>
    </w:p>
    <w:p w14:paraId="12DBD6FA"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line="400" w:lineRule="exact"/>
        <w:ind w:firstLine="480" w:firstLineChars="200"/>
        <w:jc w:val="left"/>
        <w:rPr>
          <w:rFonts w:hint="eastAsia" w:ascii="宋体" w:hAnsi="宋体" w:cs="宋体"/>
          <w:bCs/>
          <w:kern w:val="0"/>
          <w:sz w:val="24"/>
          <w:lang w:val="en-US" w:eastAsia="zh-CN"/>
        </w:rPr>
      </w:pPr>
      <w:r>
        <w:rPr>
          <w:rFonts w:hint="eastAsia" w:ascii="宋体" w:hAnsi="宋体" w:cs="宋体"/>
          <w:bCs/>
          <w:kern w:val="0"/>
          <w:sz w:val="24"/>
          <w:lang w:val="en-US" w:eastAsia="zh-CN"/>
        </w:rPr>
        <w:t>3.2评标小组对投标文件进行详细评审；</w:t>
      </w:r>
    </w:p>
    <w:p w14:paraId="75FAE19D"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line="400" w:lineRule="exact"/>
        <w:ind w:firstLine="480" w:firstLineChars="200"/>
        <w:jc w:val="left"/>
        <w:rPr>
          <w:rFonts w:hint="eastAsia" w:ascii="宋体" w:hAnsi="宋体" w:cs="宋体"/>
          <w:bCs/>
          <w:kern w:val="0"/>
          <w:sz w:val="24"/>
          <w:lang w:val="en-US" w:eastAsia="zh-CN"/>
        </w:rPr>
      </w:pPr>
      <w:r>
        <w:rPr>
          <w:rFonts w:hint="eastAsia" w:ascii="宋体" w:hAnsi="宋体" w:cs="宋体"/>
          <w:bCs/>
          <w:kern w:val="0"/>
          <w:sz w:val="24"/>
          <w:lang w:val="en-US" w:eastAsia="zh-CN"/>
        </w:rPr>
        <w:t>3.3评标小组出具评标结果，并排序推荐中标候选人。</w:t>
      </w:r>
    </w:p>
    <w:p w14:paraId="2FAB92BD"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line="400" w:lineRule="exact"/>
        <w:jc w:val="left"/>
        <w:rPr>
          <w:rFonts w:hint="eastAsia" w:ascii="宋体" w:hAnsi="宋体" w:cs="宋体"/>
          <w:b/>
          <w:bCs w:val="0"/>
          <w:kern w:val="0"/>
          <w:sz w:val="24"/>
          <w:lang w:val="en-US" w:eastAsia="zh-CN"/>
        </w:rPr>
      </w:pPr>
      <w:r>
        <w:rPr>
          <w:rFonts w:hint="eastAsia" w:ascii="宋体" w:hAnsi="宋体" w:cs="宋体"/>
          <w:b/>
          <w:bCs w:val="0"/>
          <w:kern w:val="0"/>
          <w:sz w:val="24"/>
          <w:lang w:val="en-US" w:eastAsia="zh-CN"/>
        </w:rPr>
        <w:t>二、评分及其统计</w:t>
      </w:r>
    </w:p>
    <w:p w14:paraId="65A01A33"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line="400" w:lineRule="exact"/>
        <w:ind w:firstLine="480" w:firstLineChars="200"/>
        <w:jc w:val="left"/>
        <w:rPr>
          <w:rFonts w:hint="eastAsia" w:ascii="宋体" w:hAnsi="宋体" w:cs="宋体"/>
          <w:bCs/>
          <w:kern w:val="0"/>
          <w:sz w:val="24"/>
          <w:lang w:val="en-US" w:eastAsia="zh-CN"/>
        </w:rPr>
      </w:pPr>
      <w:r>
        <w:rPr>
          <w:rFonts w:hint="eastAsia" w:ascii="宋体" w:hAnsi="宋体" w:cs="宋体"/>
          <w:bCs/>
          <w:kern w:val="0"/>
          <w:sz w:val="24"/>
          <w:lang w:val="en-US" w:eastAsia="zh-CN"/>
        </w:rPr>
        <w:t>评标小组各成员独自履行以下职责：</w:t>
      </w:r>
    </w:p>
    <w:p w14:paraId="7342B3B9"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line="400" w:lineRule="exact"/>
        <w:ind w:firstLine="480" w:firstLineChars="200"/>
        <w:jc w:val="left"/>
        <w:rPr>
          <w:rFonts w:hint="eastAsia" w:ascii="宋体" w:hAnsi="宋体" w:cs="宋体"/>
          <w:bCs/>
          <w:kern w:val="0"/>
          <w:sz w:val="24"/>
          <w:lang w:val="en-US" w:eastAsia="zh-CN"/>
        </w:rPr>
      </w:pPr>
      <w:r>
        <w:rPr>
          <w:rFonts w:hint="eastAsia" w:ascii="宋体" w:hAnsi="宋体" w:cs="宋体"/>
          <w:bCs/>
          <w:kern w:val="0"/>
          <w:sz w:val="24"/>
          <w:lang w:val="en-US" w:eastAsia="zh-CN"/>
        </w:rPr>
        <w:t>第一步：对各投标文件的响应情况进行评审；</w:t>
      </w:r>
    </w:p>
    <w:p w14:paraId="45A54957"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line="400" w:lineRule="exact"/>
        <w:ind w:firstLine="480" w:firstLineChars="200"/>
        <w:jc w:val="left"/>
        <w:rPr>
          <w:rFonts w:hint="eastAsia" w:ascii="宋体" w:hAnsi="宋体" w:cs="宋体"/>
          <w:bCs/>
          <w:kern w:val="0"/>
          <w:sz w:val="24"/>
          <w:lang w:val="en-US" w:eastAsia="zh-CN"/>
        </w:rPr>
      </w:pPr>
      <w:r>
        <w:rPr>
          <w:rFonts w:hint="eastAsia" w:ascii="宋体" w:hAnsi="宋体" w:cs="宋体"/>
          <w:bCs/>
          <w:kern w:val="0"/>
          <w:sz w:val="24"/>
          <w:lang w:val="en-US" w:eastAsia="zh-CN"/>
        </w:rPr>
        <w:t>第二步：计算各评委对各项的评分算术平均值；</w:t>
      </w:r>
    </w:p>
    <w:p w14:paraId="2C60798D"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line="400" w:lineRule="exact"/>
        <w:ind w:firstLine="480" w:firstLineChars="200"/>
        <w:jc w:val="left"/>
        <w:rPr>
          <w:rFonts w:hint="eastAsia" w:ascii="宋体" w:hAnsi="宋体" w:cs="宋体"/>
          <w:bCs/>
          <w:kern w:val="0"/>
          <w:sz w:val="24"/>
          <w:lang w:val="en-US" w:eastAsia="zh-CN"/>
        </w:rPr>
      </w:pPr>
      <w:r>
        <w:rPr>
          <w:rFonts w:hint="eastAsia" w:ascii="宋体" w:hAnsi="宋体" w:cs="宋体"/>
          <w:bCs/>
          <w:kern w:val="0"/>
          <w:sz w:val="24"/>
          <w:lang w:val="en-US" w:eastAsia="zh-CN"/>
        </w:rPr>
        <w:t>第三步：将各项算术平均值相加得出投标人综合得分。</w:t>
      </w:r>
    </w:p>
    <w:p w14:paraId="2FB75567"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line="400" w:lineRule="exact"/>
        <w:ind w:firstLine="480" w:firstLineChars="200"/>
        <w:jc w:val="left"/>
        <w:rPr>
          <w:rFonts w:hint="eastAsia" w:ascii="宋体" w:hAnsi="宋体" w:cs="宋体"/>
          <w:bCs/>
          <w:kern w:val="0"/>
          <w:sz w:val="24"/>
          <w:lang w:val="en-US" w:eastAsia="zh-CN"/>
        </w:rPr>
      </w:pPr>
      <w:r>
        <w:rPr>
          <w:rFonts w:hint="eastAsia" w:ascii="宋体" w:hAnsi="宋体" w:cs="宋体"/>
          <w:bCs/>
          <w:kern w:val="0"/>
          <w:sz w:val="24"/>
          <w:lang w:val="en-US" w:eastAsia="zh-CN"/>
        </w:rPr>
        <w:t>备注：上述均按四舍五入原则精确到小数点后二位。</w:t>
      </w:r>
    </w:p>
    <w:p w14:paraId="5E1173CA"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line="400" w:lineRule="exact"/>
        <w:jc w:val="left"/>
        <w:rPr>
          <w:rFonts w:hint="eastAsia" w:ascii="宋体" w:hAnsi="宋体" w:cs="宋体"/>
          <w:b/>
          <w:bCs w:val="0"/>
          <w:kern w:val="0"/>
          <w:sz w:val="24"/>
          <w:lang w:val="en-US" w:eastAsia="zh-CN"/>
        </w:rPr>
      </w:pPr>
      <w:r>
        <w:rPr>
          <w:rFonts w:hint="eastAsia" w:ascii="宋体" w:hAnsi="宋体" w:cs="宋体"/>
          <w:b/>
          <w:bCs w:val="0"/>
          <w:kern w:val="0"/>
          <w:sz w:val="24"/>
          <w:lang w:val="en-US" w:eastAsia="zh-CN"/>
        </w:rPr>
        <w:t>三、中标候选人</w:t>
      </w:r>
    </w:p>
    <w:p w14:paraId="78379F10"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line="400" w:lineRule="exact"/>
        <w:ind w:firstLine="480" w:firstLineChars="200"/>
        <w:jc w:val="left"/>
        <w:rPr>
          <w:rFonts w:hint="eastAsia" w:ascii="宋体" w:hAnsi="宋体" w:cs="宋体"/>
          <w:bCs/>
          <w:kern w:val="0"/>
          <w:sz w:val="24"/>
          <w:lang w:val="en-US" w:eastAsia="zh-CN"/>
        </w:rPr>
      </w:pPr>
      <w:r>
        <w:rPr>
          <w:rFonts w:hint="eastAsia" w:ascii="宋体" w:hAnsi="宋体" w:cs="宋体"/>
          <w:bCs/>
          <w:kern w:val="0"/>
          <w:sz w:val="24"/>
          <w:lang w:val="en-US" w:eastAsia="zh-CN"/>
        </w:rPr>
        <w:t>评标小组根据综合得分由高到低排序，推荐中标候选投标人名单。</w:t>
      </w:r>
    </w:p>
    <w:p w14:paraId="59109D5C">
      <w:pPr>
        <w:pStyle w:val="2"/>
        <w:rPr>
          <w:rFonts w:hint="eastAsia" w:ascii="宋体" w:hAnsi="宋体" w:cs="宋体"/>
          <w:bCs/>
          <w:kern w:val="0"/>
          <w:sz w:val="24"/>
          <w:lang w:val="en-US" w:eastAsia="zh-CN"/>
        </w:rPr>
      </w:pPr>
    </w:p>
    <w:p w14:paraId="24E548FB">
      <w:pPr>
        <w:pStyle w:val="3"/>
        <w:rPr>
          <w:rFonts w:hint="eastAsia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29B2898"/>
    <w:rsid w:val="0C84352B"/>
    <w:rsid w:val="13AD7CBC"/>
    <w:rsid w:val="14755593"/>
    <w:rsid w:val="31E77F4E"/>
    <w:rsid w:val="3A002397"/>
    <w:rsid w:val="46A77952"/>
    <w:rsid w:val="6261077D"/>
    <w:rsid w:val="7E1569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